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B18D" w14:textId="77777777" w:rsidR="00EB7B37" w:rsidRPr="008A01CE" w:rsidRDefault="00EB7B37" w:rsidP="00EB7B37">
      <w:pPr>
        <w:spacing w:after="100" w:afterAutospacing="1"/>
        <w:jc w:val="center"/>
        <w:rPr>
          <w:rFonts w:asciiTheme="minorHAnsi" w:hAnsiTheme="minorHAnsi"/>
        </w:rPr>
      </w:pPr>
    </w:p>
    <w:p w14:paraId="59892645" w14:textId="77777777" w:rsidR="00EB7B37" w:rsidRPr="008A01CE" w:rsidRDefault="00EB7B37" w:rsidP="00EB7B37">
      <w:pPr>
        <w:jc w:val="center"/>
        <w:rPr>
          <w:rFonts w:asciiTheme="minorHAnsi" w:hAnsiTheme="minorHAnsi"/>
          <w:b/>
          <w:sz w:val="28"/>
          <w:szCs w:val="28"/>
        </w:rPr>
      </w:pPr>
      <w:r w:rsidRPr="008A01CE">
        <w:rPr>
          <w:rFonts w:asciiTheme="minorHAnsi" w:hAnsiTheme="minorHAnsi"/>
          <w:b/>
          <w:sz w:val="28"/>
          <w:szCs w:val="28"/>
        </w:rPr>
        <w:t>NOTICE OF FUNDING AVAILABILITY (NOFA)</w:t>
      </w:r>
    </w:p>
    <w:p w14:paraId="7D8DF9CF" w14:textId="64EDDF88" w:rsidR="00EB7B37" w:rsidRPr="008A01CE" w:rsidRDefault="00EB7B37" w:rsidP="00EB7B37">
      <w:pPr>
        <w:jc w:val="center"/>
        <w:rPr>
          <w:rFonts w:asciiTheme="minorHAnsi" w:hAnsiTheme="minorHAnsi"/>
          <w:b/>
          <w:sz w:val="28"/>
          <w:szCs w:val="28"/>
        </w:rPr>
      </w:pPr>
      <w:r w:rsidRPr="008A01CE">
        <w:rPr>
          <w:rFonts w:asciiTheme="minorHAnsi" w:hAnsiTheme="minorHAnsi"/>
          <w:b/>
          <w:sz w:val="28"/>
          <w:szCs w:val="28"/>
        </w:rPr>
        <w:t xml:space="preserve">FY </w:t>
      </w:r>
      <w:r w:rsidR="003D42DE" w:rsidRPr="008A01CE">
        <w:rPr>
          <w:rFonts w:asciiTheme="minorHAnsi" w:hAnsiTheme="minorHAnsi"/>
          <w:b/>
          <w:sz w:val="28"/>
          <w:szCs w:val="28"/>
        </w:rPr>
        <w:t>202</w:t>
      </w:r>
      <w:r w:rsidR="004F6F48" w:rsidRPr="008A01CE">
        <w:rPr>
          <w:rFonts w:asciiTheme="minorHAnsi" w:hAnsiTheme="minorHAnsi"/>
          <w:b/>
          <w:sz w:val="28"/>
          <w:szCs w:val="28"/>
        </w:rPr>
        <w:t>4</w:t>
      </w:r>
      <w:r w:rsidRPr="008A01CE">
        <w:rPr>
          <w:rFonts w:asciiTheme="minorHAnsi" w:hAnsiTheme="minorHAnsi"/>
          <w:b/>
          <w:sz w:val="28"/>
          <w:szCs w:val="28"/>
        </w:rPr>
        <w:t xml:space="preserve"> </w:t>
      </w:r>
      <w:r w:rsidR="00A57545" w:rsidRPr="008A01CE">
        <w:rPr>
          <w:rFonts w:asciiTheme="minorHAnsi" w:hAnsiTheme="minorHAnsi"/>
          <w:b/>
          <w:bCs/>
          <w:sz w:val="28"/>
          <w:szCs w:val="28"/>
        </w:rPr>
        <w:t xml:space="preserve">LATINO </w:t>
      </w:r>
      <w:r w:rsidR="003D42DE" w:rsidRPr="008A01CE">
        <w:rPr>
          <w:rFonts w:asciiTheme="minorHAnsi" w:hAnsiTheme="minorHAnsi"/>
          <w:b/>
          <w:bCs/>
          <w:sz w:val="28"/>
          <w:szCs w:val="28"/>
        </w:rPr>
        <w:t xml:space="preserve">COMMUNITY ENGAGEMENT </w:t>
      </w:r>
      <w:r w:rsidR="00A57545" w:rsidRPr="008A01CE">
        <w:rPr>
          <w:rFonts w:asciiTheme="minorHAnsi" w:hAnsiTheme="minorHAnsi"/>
          <w:b/>
          <w:bCs/>
          <w:sz w:val="28"/>
          <w:szCs w:val="28"/>
        </w:rPr>
        <w:t>GRANT</w:t>
      </w:r>
    </w:p>
    <w:p w14:paraId="4AB564BF" w14:textId="77777777" w:rsidR="00EB7B37" w:rsidRPr="008A01CE" w:rsidRDefault="00EB7B37" w:rsidP="00EB7B37">
      <w:pPr>
        <w:spacing w:before="100" w:beforeAutospacing="1" w:after="100" w:afterAutospacing="1"/>
        <w:jc w:val="both"/>
        <w:rPr>
          <w:rFonts w:asciiTheme="minorHAnsi" w:hAnsiTheme="minorHAnsi"/>
          <w:b/>
        </w:rPr>
      </w:pPr>
      <w:r w:rsidRPr="008A01CE">
        <w:rPr>
          <w:rFonts w:asciiTheme="minorHAnsi" w:hAnsiTheme="minorHAnsi"/>
          <w:b/>
        </w:rPr>
        <w:t xml:space="preserve">Background Information: </w:t>
      </w:r>
    </w:p>
    <w:p w14:paraId="5402AB22" w14:textId="2EEBF27B" w:rsidR="00257BC2" w:rsidRPr="008A01CE" w:rsidRDefault="00685FE6" w:rsidP="00EB449B">
      <w:r w:rsidRPr="006743D5">
        <w:t xml:space="preserve">The Executive Office of Mayor Muriel Bowser and </w:t>
      </w:r>
      <w:r w:rsidR="00EB7B37" w:rsidRPr="006743D5">
        <w:t xml:space="preserve">The Mayor’s Office on Latino Affairs </w:t>
      </w:r>
      <w:r w:rsidR="001A0C61" w:rsidRPr="006743D5">
        <w:t xml:space="preserve">invites qualified Community Based Organizations </w:t>
      </w:r>
      <w:r w:rsidR="000A3B1A" w:rsidRPr="006743D5">
        <w:t>providing direct services to the District of Columbia’s Latino community</w:t>
      </w:r>
      <w:r w:rsidR="009D1F1F" w:rsidRPr="006743D5">
        <w:t xml:space="preserve"> to apply for the </w:t>
      </w:r>
      <w:r w:rsidR="009D1F1F" w:rsidRPr="006743D5">
        <w:t>FY 2024 Latino Community Engagement Grant</w:t>
      </w:r>
      <w:r w:rsidR="009D1F1F" w:rsidRPr="006743D5">
        <w:t xml:space="preserve">. The grant </w:t>
      </w:r>
      <w:r w:rsidR="000E3EED" w:rsidRPr="006743D5">
        <w:t xml:space="preserve">aims to provide </w:t>
      </w:r>
      <w:r w:rsidR="00AE0BD5" w:rsidRPr="006743D5">
        <w:t xml:space="preserve">direct </w:t>
      </w:r>
      <w:r w:rsidR="000E3EED" w:rsidRPr="006743D5">
        <w:t>support</w:t>
      </w:r>
      <w:r w:rsidR="00AE0BD5" w:rsidRPr="006743D5">
        <w:t xml:space="preserve"> to the Mayor’s Office on Latino Affairs</w:t>
      </w:r>
      <w:r w:rsidR="000E3EED" w:rsidRPr="006743D5">
        <w:t xml:space="preserve"> </w:t>
      </w:r>
      <w:r w:rsidR="00FB5E08" w:rsidRPr="006743D5">
        <w:t>in</w:t>
      </w:r>
      <w:r w:rsidR="00257BC2" w:rsidRPr="006743D5">
        <w:t xml:space="preserve"> their efforts to connect with and support the Latino population </w:t>
      </w:r>
      <w:r w:rsidR="00257BC2" w:rsidRPr="006743D5">
        <w:t>through</w:t>
      </w:r>
      <w:r w:rsidR="00257BC2" w:rsidRPr="006743D5">
        <w:t xml:space="preserve"> community events</w:t>
      </w:r>
      <w:r w:rsidR="00E931CE" w:rsidRPr="006743D5">
        <w:t xml:space="preserve"> and programs</w:t>
      </w:r>
      <w:r w:rsidR="00257BC2" w:rsidRPr="006743D5">
        <w:t>, fostering greater engagement and participation.</w:t>
      </w:r>
    </w:p>
    <w:p w14:paraId="44479B48" w14:textId="62CF9D01" w:rsidR="00983300" w:rsidRPr="008A01CE" w:rsidRDefault="00983300" w:rsidP="00EB7B37">
      <w:pPr>
        <w:spacing w:before="100" w:beforeAutospacing="1" w:after="100" w:afterAutospacing="1"/>
        <w:jc w:val="both"/>
        <w:rPr>
          <w:rFonts w:asciiTheme="minorHAnsi" w:hAnsiTheme="minorHAnsi"/>
          <w:b/>
          <w:bCs/>
        </w:rPr>
      </w:pPr>
      <w:r w:rsidRPr="008A01CE">
        <w:rPr>
          <w:rFonts w:asciiTheme="minorHAnsi" w:hAnsiTheme="minorHAnsi"/>
          <w:b/>
          <w:bCs/>
        </w:rPr>
        <w:t xml:space="preserve">Funding Areas: </w:t>
      </w:r>
    </w:p>
    <w:p w14:paraId="3B57D9D4" w14:textId="6AE2BF97" w:rsidR="00D0352D" w:rsidRPr="008A01CE" w:rsidRDefault="00EB7B37" w:rsidP="00B418A5">
      <w:pPr>
        <w:spacing w:line="276" w:lineRule="auto"/>
      </w:pPr>
      <w:r w:rsidRPr="008A01CE">
        <w:t xml:space="preserve">Funding priority areas identified for FY </w:t>
      </w:r>
      <w:r w:rsidR="003D42DE" w:rsidRPr="008A01CE">
        <w:t>202</w:t>
      </w:r>
      <w:r w:rsidR="0038224F" w:rsidRPr="008A01CE">
        <w:t>4</w:t>
      </w:r>
      <w:r w:rsidRPr="008A01CE">
        <w:t xml:space="preserve"> are aligned with </w:t>
      </w:r>
      <w:r w:rsidR="002379D7" w:rsidRPr="008A01CE">
        <w:t xml:space="preserve">the following </w:t>
      </w:r>
      <w:r w:rsidRPr="008A01CE">
        <w:t xml:space="preserve">Mayor Muriel Bowser’s administration budget </w:t>
      </w:r>
      <w:r w:rsidR="003C4FA6" w:rsidRPr="008A01CE">
        <w:t>priorities</w:t>
      </w:r>
      <w:r w:rsidR="008D7944" w:rsidRPr="008A01CE">
        <w:t>:</w:t>
      </w:r>
      <w:r w:rsidR="003C4FA6" w:rsidRPr="008A01CE">
        <w:t xml:space="preserve"> </w:t>
      </w:r>
      <w:r w:rsidR="003C4FA6" w:rsidRPr="008A01CE">
        <w:t>Jobs &amp; Economic Development, Public Safety, Youth Engagement, and Arts &amp; Creative Economy</w:t>
      </w:r>
      <w:r w:rsidR="00955D9C" w:rsidRPr="008A01CE">
        <w:t>. Fund</w:t>
      </w:r>
      <w:r w:rsidR="0022377E" w:rsidRPr="008A01CE">
        <w:t>s</w:t>
      </w:r>
      <w:r w:rsidR="00955D9C" w:rsidRPr="008A01CE">
        <w:t xml:space="preserve"> </w:t>
      </w:r>
      <w:r w:rsidR="0022377E" w:rsidRPr="008A01CE">
        <w:t>are</w:t>
      </w:r>
      <w:r w:rsidR="00473094" w:rsidRPr="008A01CE">
        <w:t xml:space="preserve"> available</w:t>
      </w:r>
      <w:r w:rsidR="00955D9C" w:rsidRPr="008A01CE">
        <w:t xml:space="preserve"> for</w:t>
      </w:r>
      <w:r w:rsidR="0022377E" w:rsidRPr="008A01CE">
        <w:t xml:space="preserve"> the fol</w:t>
      </w:r>
      <w:r w:rsidR="00731986" w:rsidRPr="008A01CE">
        <w:t>lowing</w:t>
      </w:r>
      <w:r w:rsidR="00955D9C" w:rsidRPr="008A01CE">
        <w:t xml:space="preserve">: </w:t>
      </w:r>
    </w:p>
    <w:p w14:paraId="7244FE67" w14:textId="77777777" w:rsidR="00955D9C" w:rsidRPr="008A01CE" w:rsidRDefault="00955D9C" w:rsidP="00B418A5">
      <w:pPr>
        <w:spacing w:line="276" w:lineRule="auto"/>
      </w:pPr>
    </w:p>
    <w:p w14:paraId="4C011DF1" w14:textId="56E7E527" w:rsidR="00715A28" w:rsidRPr="008A01CE" w:rsidRDefault="00516239" w:rsidP="00B418A5">
      <w:pPr>
        <w:pStyle w:val="ListParagraph"/>
        <w:numPr>
          <w:ilvl w:val="0"/>
          <w:numId w:val="12"/>
        </w:numPr>
        <w:spacing w:line="276" w:lineRule="auto"/>
      </w:pPr>
      <w:r w:rsidRPr="008A01CE">
        <w:t>Launching a Workforce Development Community Ambassadors Program to</w:t>
      </w:r>
      <w:r w:rsidR="00F067FA" w:rsidRPr="008A01CE">
        <w:t xml:space="preserve"> </w:t>
      </w:r>
      <w:r w:rsidR="009C3DE0" w:rsidRPr="008A01CE">
        <w:t>deploy trusted messengers who will provide accurate information about government and nonprofit resources</w:t>
      </w:r>
      <w:r w:rsidR="00EE6099">
        <w:t xml:space="preserve"> available to DC Latinos</w:t>
      </w:r>
      <w:r w:rsidR="006933AE" w:rsidRPr="008A01CE">
        <w:t>;</w:t>
      </w:r>
    </w:p>
    <w:p w14:paraId="3474BF53" w14:textId="03E00908" w:rsidR="00B32CC6" w:rsidRPr="008A01CE" w:rsidRDefault="004D6897" w:rsidP="00B418A5">
      <w:pPr>
        <w:pStyle w:val="ListParagraph"/>
        <w:numPr>
          <w:ilvl w:val="0"/>
          <w:numId w:val="12"/>
        </w:numPr>
        <w:spacing w:line="276" w:lineRule="auto"/>
      </w:pPr>
      <w:r w:rsidRPr="008A01CE">
        <w:t>Assist in</w:t>
      </w:r>
      <w:r w:rsidR="006933AE" w:rsidRPr="008A01CE">
        <w:t xml:space="preserve"> the execution of community cultural events to </w:t>
      </w:r>
      <w:r w:rsidR="00A717AE" w:rsidRPr="008A01CE">
        <w:t xml:space="preserve">the </w:t>
      </w:r>
      <w:r w:rsidR="00A730EF" w:rsidRPr="008A01CE">
        <w:t>promote the Latino Diaspora</w:t>
      </w:r>
      <w:r w:rsidR="00170AC8">
        <w:t>s</w:t>
      </w:r>
      <w:r w:rsidR="00A730EF" w:rsidRPr="008A01CE">
        <w:t xml:space="preserve"> in DC</w:t>
      </w:r>
      <w:r w:rsidR="00C376DB" w:rsidRPr="008A01CE">
        <w:t xml:space="preserve">. Events </w:t>
      </w:r>
      <w:r w:rsidR="00EE6099" w:rsidRPr="008A01CE">
        <w:t>include</w:t>
      </w:r>
      <w:r w:rsidR="005C3000">
        <w:t xml:space="preserve">: </w:t>
      </w:r>
      <w:r w:rsidR="001E76B7" w:rsidRPr="008A01CE">
        <w:t>Mi Pequeno El Salvador</w:t>
      </w:r>
      <w:r w:rsidR="008420C5">
        <w:t xml:space="preserve"> Festival</w:t>
      </w:r>
      <w:r w:rsidR="001E76B7" w:rsidRPr="008A01CE">
        <w:t>; Afro-Latino Fest</w:t>
      </w:r>
      <w:r w:rsidR="008F77D2" w:rsidRPr="008A01CE">
        <w:t>;</w:t>
      </w:r>
      <w:r w:rsidR="001E76B7" w:rsidRPr="008A01CE">
        <w:t xml:space="preserve"> </w:t>
      </w:r>
      <w:r w:rsidR="008A01CE" w:rsidRPr="008A01CE">
        <w:t>Mayor Bowser’s Summer Soccer League</w:t>
      </w:r>
      <w:r w:rsidR="00E53BD7" w:rsidRPr="008A01CE">
        <w:t xml:space="preserve">; </w:t>
      </w:r>
      <w:r w:rsidR="00EE6099">
        <w:t xml:space="preserve">DC </w:t>
      </w:r>
      <w:r w:rsidR="003F3A72" w:rsidRPr="008A01CE">
        <w:t>Latino Restaurant Week</w:t>
      </w:r>
    </w:p>
    <w:p w14:paraId="7BD2CE82" w14:textId="60621ACE" w:rsidR="00B418A5" w:rsidRPr="00B418A5" w:rsidRDefault="009C3DE0" w:rsidP="00B418A5">
      <w:pPr>
        <w:pStyle w:val="ListParagraph"/>
        <w:numPr>
          <w:ilvl w:val="0"/>
          <w:numId w:val="12"/>
        </w:numPr>
        <w:spacing w:line="276" w:lineRule="auto"/>
        <w:sectPr w:rsidR="00B418A5" w:rsidRPr="00B418A5" w:rsidSect="000072AE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A01CE">
        <w:t xml:space="preserve">Encouraging economic growth by aiding </w:t>
      </w:r>
      <w:r w:rsidR="005C3000">
        <w:t xml:space="preserve">Latino </w:t>
      </w:r>
      <w:r w:rsidRPr="008A01CE">
        <w:t>small businesses with a particular emphasis on bolstering DC's Latino Legacy Businesses</w:t>
      </w:r>
      <w:r w:rsidR="00983191" w:rsidRPr="008A01CE">
        <w:t xml:space="preserve"> </w:t>
      </w:r>
      <w:r w:rsidR="00B418A5">
        <w:t>.</w:t>
      </w:r>
    </w:p>
    <w:p w14:paraId="2C5E9A22" w14:textId="55EFCF10" w:rsidR="00EB7B37" w:rsidRPr="008A01CE" w:rsidRDefault="00A3560F" w:rsidP="00B418A5">
      <w:pPr>
        <w:spacing w:before="100" w:beforeAutospacing="1" w:after="100" w:afterAutospacing="1"/>
        <w:jc w:val="both"/>
        <w:rPr>
          <w:rFonts w:asciiTheme="minorHAnsi" w:hAnsiTheme="minorHAnsi"/>
          <w:b/>
        </w:rPr>
      </w:pPr>
      <w:r w:rsidRPr="008A01CE">
        <w:rPr>
          <w:rFonts w:asciiTheme="minorHAnsi" w:hAnsiTheme="minorHAnsi"/>
          <w:b/>
        </w:rPr>
        <w:t xml:space="preserve"> </w:t>
      </w:r>
      <w:r w:rsidR="00EB7B37" w:rsidRPr="008A01CE">
        <w:rPr>
          <w:rFonts w:asciiTheme="minorHAnsi" w:hAnsiTheme="minorHAnsi"/>
          <w:b/>
        </w:rPr>
        <w:t xml:space="preserve">Eligibility Criteria:    </w:t>
      </w:r>
    </w:p>
    <w:p w14:paraId="444BDC19" w14:textId="77777777" w:rsidR="00EB7B37" w:rsidRPr="008A01CE" w:rsidRDefault="00EB7B37" w:rsidP="00EB7B37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8A01CE">
        <w:rPr>
          <w:rFonts w:asciiTheme="minorHAnsi" w:hAnsiTheme="minorHAnsi"/>
        </w:rPr>
        <w:t>Organizations who meet the following eligibility requirements at the time of application may apply:</w:t>
      </w:r>
    </w:p>
    <w:p w14:paraId="2D478B71" w14:textId="77777777" w:rsidR="00EB7B37" w:rsidRPr="008A01CE" w:rsidRDefault="00EB7B37" w:rsidP="00DB2049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8A01CE">
        <w:rPr>
          <w:rFonts w:asciiTheme="minorHAnsi" w:hAnsiTheme="minorHAnsi"/>
        </w:rPr>
        <w:t xml:space="preserve">Be a Community-Based Organization (CBO) with a Federal 501(c)(3) tax-exempt status or evidence of fiscal agent relationship with a 501 (c)(3) organization; </w:t>
      </w:r>
    </w:p>
    <w:p w14:paraId="2CBD3828" w14:textId="6A387615" w:rsidR="00EB7B37" w:rsidRPr="008A01CE" w:rsidRDefault="00EB7B37" w:rsidP="00DB2049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8A01CE">
        <w:rPr>
          <w:rFonts w:asciiTheme="minorHAnsi" w:hAnsiTheme="minorHAnsi"/>
        </w:rPr>
        <w:t xml:space="preserve">The organization or program serves the District’s </w:t>
      </w:r>
      <w:r w:rsidR="00A57545" w:rsidRPr="008A01CE">
        <w:rPr>
          <w:rFonts w:asciiTheme="minorHAnsi" w:hAnsiTheme="minorHAnsi"/>
        </w:rPr>
        <w:t>Latinx</w:t>
      </w:r>
      <w:r w:rsidRPr="008A01CE">
        <w:rPr>
          <w:rFonts w:asciiTheme="minorHAnsi" w:hAnsiTheme="minorHAnsi"/>
        </w:rPr>
        <w:t xml:space="preserve"> residents or business owners;</w:t>
      </w:r>
    </w:p>
    <w:p w14:paraId="722022A8" w14:textId="77777777" w:rsidR="00EB7B37" w:rsidRPr="008A01CE" w:rsidRDefault="00EB7B37" w:rsidP="00DB2049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8A01CE">
        <w:rPr>
          <w:rFonts w:asciiTheme="minorHAnsi" w:hAnsiTheme="minorHAnsi"/>
        </w:rPr>
        <w:lastRenderedPageBreak/>
        <w:t xml:space="preserve">The organization’s principal place of business is located in the District of Columbia; </w:t>
      </w:r>
    </w:p>
    <w:p w14:paraId="55DE75D9" w14:textId="77777777" w:rsidR="00EB7B37" w:rsidRPr="008A01CE" w:rsidRDefault="00EB7B37" w:rsidP="00DB2049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8A01CE">
        <w:rPr>
          <w:rFonts w:asciiTheme="minorHAnsi" w:hAnsiTheme="minorHAnsi"/>
        </w:rPr>
        <w:t>All services and programming to receive funds must be provided in the District of Columbia;</w:t>
      </w:r>
    </w:p>
    <w:p w14:paraId="0F26A730" w14:textId="7C9A2F22" w:rsidR="00E12335" w:rsidRDefault="002633EA" w:rsidP="00DB2049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2633EA">
        <w:rPr>
          <w:rFonts w:asciiTheme="minorHAnsi" w:hAnsiTheme="minorHAnsi"/>
        </w:rPr>
        <w:t>The organization must be currently registered in good standing with the DC Department of Licensing and Consumer Protection (DLCP), and</w:t>
      </w:r>
      <w:r w:rsidR="00400595">
        <w:rPr>
          <w:rFonts w:asciiTheme="minorHAnsi" w:hAnsiTheme="minorHAnsi"/>
        </w:rPr>
        <w:t xml:space="preserve"> have a certificate of Clean Hands</w:t>
      </w:r>
      <w:r w:rsidR="005003D3">
        <w:rPr>
          <w:rFonts w:asciiTheme="minorHAnsi" w:hAnsiTheme="minorHAnsi"/>
        </w:rPr>
        <w:t xml:space="preserve"> with</w:t>
      </w:r>
      <w:r w:rsidRPr="002633EA">
        <w:rPr>
          <w:rFonts w:asciiTheme="minorHAnsi" w:hAnsiTheme="minorHAnsi"/>
        </w:rPr>
        <w:t xml:space="preserve"> the Office of Tax and Revenue (OTR);</w:t>
      </w:r>
    </w:p>
    <w:p w14:paraId="3A53F777" w14:textId="6D479148" w:rsidR="00E12335" w:rsidRPr="00E12335" w:rsidRDefault="00E12335" w:rsidP="00DB2049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E12335">
        <w:rPr>
          <w:rFonts w:asciiTheme="minorHAnsi" w:hAnsiTheme="minorHAnsi"/>
        </w:rPr>
        <w:t>Current grantees must be current on any reporting obligations for the FY2</w:t>
      </w:r>
      <w:r>
        <w:rPr>
          <w:rFonts w:asciiTheme="minorHAnsi" w:hAnsiTheme="minorHAnsi"/>
        </w:rPr>
        <w:t>4</w:t>
      </w:r>
      <w:r w:rsidRPr="00E12335">
        <w:rPr>
          <w:rFonts w:asciiTheme="minorHAnsi" w:hAnsiTheme="minorHAnsi"/>
        </w:rPr>
        <w:t xml:space="preserve"> grant cycle and progress towards deliverables will be considered.</w:t>
      </w:r>
    </w:p>
    <w:p w14:paraId="6A72FD47" w14:textId="77777777" w:rsidR="00EB7B37" w:rsidRPr="008A01CE" w:rsidRDefault="00EB7B37" w:rsidP="00EB7B37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8A01CE">
        <w:rPr>
          <w:rFonts w:asciiTheme="minorHAnsi" w:hAnsiTheme="minorHAnsi"/>
          <w:b/>
        </w:rPr>
        <w:t>Program Scope</w:t>
      </w:r>
      <w:r w:rsidRPr="008A01CE">
        <w:rPr>
          <w:rFonts w:asciiTheme="minorHAnsi" w:hAnsiTheme="minorHAnsi"/>
        </w:rPr>
        <w:t>:</w:t>
      </w:r>
    </w:p>
    <w:p w14:paraId="586B6CA0" w14:textId="49AC00EE" w:rsidR="00EB7B37" w:rsidRPr="008A01CE" w:rsidRDefault="00EB7B37" w:rsidP="00EB7B37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8A01CE">
        <w:rPr>
          <w:rFonts w:asciiTheme="minorHAnsi" w:hAnsiTheme="minorHAnsi"/>
        </w:rPr>
        <w:t xml:space="preserve">In FY </w:t>
      </w:r>
      <w:r w:rsidR="003D42DE" w:rsidRPr="008A01CE">
        <w:rPr>
          <w:rFonts w:asciiTheme="minorHAnsi" w:hAnsiTheme="minorHAnsi"/>
        </w:rPr>
        <w:t>202</w:t>
      </w:r>
      <w:r w:rsidR="00AD3E77" w:rsidRPr="008A01CE">
        <w:rPr>
          <w:rFonts w:asciiTheme="minorHAnsi" w:hAnsiTheme="minorHAnsi"/>
        </w:rPr>
        <w:t>4</w:t>
      </w:r>
      <w:r w:rsidRPr="008A01CE">
        <w:rPr>
          <w:rFonts w:asciiTheme="minorHAnsi" w:hAnsiTheme="minorHAnsi"/>
        </w:rPr>
        <w:t xml:space="preserve">, Latino </w:t>
      </w:r>
      <w:r w:rsidR="00AD3E77" w:rsidRPr="008A01CE">
        <w:rPr>
          <w:rFonts w:asciiTheme="minorHAnsi" w:hAnsiTheme="minorHAnsi"/>
        </w:rPr>
        <w:t xml:space="preserve">Community Engagement </w:t>
      </w:r>
      <w:r w:rsidRPr="008A01CE">
        <w:rPr>
          <w:rFonts w:asciiTheme="minorHAnsi" w:hAnsiTheme="minorHAnsi"/>
        </w:rPr>
        <w:t>Grant will fund programs with demonstrated ties to Mayor Bowser’s priority areas and community needs in the following program areas: economic and workforce development, youth engagement,</w:t>
      </w:r>
      <w:r w:rsidR="004F35B4" w:rsidRPr="008A01CE">
        <w:rPr>
          <w:rFonts w:asciiTheme="minorHAnsi" w:hAnsiTheme="minorHAnsi"/>
        </w:rPr>
        <w:t xml:space="preserve"> public safety,</w:t>
      </w:r>
      <w:r w:rsidRPr="008A01CE">
        <w:rPr>
          <w:rFonts w:asciiTheme="minorHAnsi" w:hAnsiTheme="minorHAnsi"/>
        </w:rPr>
        <w:t xml:space="preserve"> and promotion of the arts and humanities [see RFA for details]. </w:t>
      </w:r>
    </w:p>
    <w:p w14:paraId="2C331C2E" w14:textId="49EB03E2" w:rsidR="004D2498" w:rsidRPr="008A01CE" w:rsidRDefault="004D2498" w:rsidP="004D2498">
      <w:pPr>
        <w:ind w:left="2832" w:hanging="2832"/>
        <w:jc w:val="both"/>
        <w:rPr>
          <w:rFonts w:asciiTheme="minorHAnsi" w:eastAsia="Tahoma" w:hAnsiTheme="minorHAnsi" w:cstheme="minorHAnsi"/>
        </w:rPr>
      </w:pPr>
      <w:r w:rsidRPr="008A01CE">
        <w:rPr>
          <w:rFonts w:asciiTheme="minorHAnsi" w:eastAsia="Tahoma" w:hAnsiTheme="minorHAnsi" w:cstheme="minorHAnsi"/>
          <w:b/>
        </w:rPr>
        <w:t>Release Date of RFA:</w:t>
      </w:r>
      <w:r w:rsidRPr="008A01CE">
        <w:rPr>
          <w:rFonts w:asciiTheme="minorHAnsi" w:eastAsia="Tahoma" w:hAnsiTheme="minorHAnsi" w:cstheme="minorHAnsi"/>
          <w:b/>
        </w:rPr>
        <w:tab/>
      </w:r>
      <w:r w:rsidR="00D0352D" w:rsidRPr="008A01CE">
        <w:rPr>
          <w:rFonts w:asciiTheme="minorHAnsi" w:eastAsia="Tahoma" w:hAnsiTheme="minorHAnsi" w:cstheme="minorHAnsi"/>
        </w:rPr>
        <w:t>Tuesday</w:t>
      </w:r>
      <w:r w:rsidR="00E44922" w:rsidRPr="008A01CE">
        <w:rPr>
          <w:rFonts w:asciiTheme="minorHAnsi" w:eastAsia="Tahoma" w:hAnsiTheme="minorHAnsi" w:cstheme="minorHAnsi"/>
        </w:rPr>
        <w:t>, March</w:t>
      </w:r>
      <w:r w:rsidR="00752396">
        <w:rPr>
          <w:rFonts w:asciiTheme="minorHAnsi" w:eastAsia="Tahoma" w:hAnsiTheme="minorHAnsi" w:cstheme="minorHAnsi"/>
        </w:rPr>
        <w:t xml:space="preserve"> 25</w:t>
      </w:r>
      <w:r w:rsidR="00752396" w:rsidRPr="00752396">
        <w:rPr>
          <w:rFonts w:asciiTheme="minorHAnsi" w:eastAsia="Tahoma" w:hAnsiTheme="minorHAnsi" w:cstheme="minorHAnsi"/>
          <w:vertAlign w:val="superscript"/>
        </w:rPr>
        <w:t>th</w:t>
      </w:r>
      <w:r w:rsidR="00E44922" w:rsidRPr="008A01CE">
        <w:rPr>
          <w:rFonts w:asciiTheme="minorHAnsi" w:eastAsia="Tahoma" w:hAnsiTheme="minorHAnsi" w:cstheme="minorHAnsi"/>
        </w:rPr>
        <w:t>, 2024</w:t>
      </w:r>
    </w:p>
    <w:p w14:paraId="3FCCD353" w14:textId="77777777" w:rsidR="004D2498" w:rsidRPr="008A01CE" w:rsidRDefault="004D2498" w:rsidP="004D2498">
      <w:pPr>
        <w:rPr>
          <w:rFonts w:asciiTheme="minorHAnsi" w:hAnsiTheme="minorHAnsi" w:cstheme="minorHAnsi"/>
        </w:rPr>
      </w:pPr>
    </w:p>
    <w:p w14:paraId="2FD3DCFD" w14:textId="77777777" w:rsidR="004D2498" w:rsidRPr="008A01CE" w:rsidRDefault="004D2498" w:rsidP="004D2498">
      <w:pPr>
        <w:rPr>
          <w:rFonts w:asciiTheme="minorHAnsi" w:hAnsiTheme="minorHAnsi" w:cstheme="minorHAnsi"/>
        </w:rPr>
      </w:pPr>
    </w:p>
    <w:p w14:paraId="6DD19479" w14:textId="77777777" w:rsidR="004D2498" w:rsidRPr="008A01CE" w:rsidRDefault="004D2498" w:rsidP="004D2498">
      <w:pPr>
        <w:ind w:left="2832" w:hanging="2832"/>
        <w:rPr>
          <w:rFonts w:asciiTheme="minorHAnsi" w:eastAsia="Tahoma" w:hAnsiTheme="minorHAnsi" w:cstheme="minorHAnsi"/>
        </w:rPr>
      </w:pPr>
      <w:r w:rsidRPr="008A01CE">
        <w:rPr>
          <w:rFonts w:asciiTheme="minorHAnsi" w:eastAsia="Tahoma" w:hAnsiTheme="minorHAnsi" w:cstheme="minorHAnsi"/>
          <w:b/>
        </w:rPr>
        <w:t>Availability of RFA:</w:t>
      </w:r>
      <w:r w:rsidRPr="008A01CE">
        <w:rPr>
          <w:rFonts w:asciiTheme="minorHAnsi" w:eastAsia="Tahoma" w:hAnsiTheme="minorHAnsi" w:cstheme="minorHAnsi"/>
        </w:rPr>
        <w:tab/>
        <w:t>The RFA will be posted on MOLA’s website (</w:t>
      </w:r>
      <w:hyperlink r:id="rId9" w:history="1">
        <w:r w:rsidRPr="008A01CE">
          <w:rPr>
            <w:rStyle w:val="Hyperlink"/>
            <w:rFonts w:asciiTheme="minorHAnsi" w:eastAsia="Tahoma" w:hAnsiTheme="minorHAnsi" w:cstheme="minorHAnsi"/>
          </w:rPr>
          <w:t>mola.dc.gov</w:t>
        </w:r>
      </w:hyperlink>
      <w:r w:rsidRPr="008A01CE">
        <w:rPr>
          <w:rFonts w:asciiTheme="minorHAnsi" w:eastAsia="Tahoma" w:hAnsiTheme="minorHAnsi" w:cstheme="minorHAnsi"/>
        </w:rPr>
        <w:t xml:space="preserve">) &amp; on the </w:t>
      </w:r>
      <w:hyperlink r:id="rId10">
        <w:r w:rsidRPr="008A01CE">
          <w:rPr>
            <w:rFonts w:asciiTheme="minorHAnsi" w:eastAsia="Tahoma" w:hAnsiTheme="minorHAnsi" w:cstheme="minorHAnsi"/>
            <w:color w:val="0000FF"/>
            <w:u w:val="single"/>
          </w:rPr>
          <w:t>District’s Grant Clearinghouse</w:t>
        </w:r>
      </w:hyperlink>
      <w:r w:rsidRPr="008A01CE">
        <w:rPr>
          <w:rFonts w:asciiTheme="minorHAnsi" w:eastAsia="Tahoma" w:hAnsiTheme="minorHAnsi" w:cstheme="minorHAnsi"/>
        </w:rPr>
        <w:t xml:space="preserve"> Website</w:t>
      </w:r>
    </w:p>
    <w:p w14:paraId="1C39D980" w14:textId="77777777" w:rsidR="004D2498" w:rsidRPr="008A01CE" w:rsidRDefault="004D2498" w:rsidP="004D2498">
      <w:pPr>
        <w:ind w:left="2832" w:hanging="2832"/>
        <w:rPr>
          <w:rFonts w:asciiTheme="minorHAnsi" w:eastAsia="Tahoma" w:hAnsiTheme="minorHAnsi" w:cstheme="minorHAnsi"/>
        </w:rPr>
      </w:pPr>
    </w:p>
    <w:p w14:paraId="7259BA92" w14:textId="77777777" w:rsidR="004D2498" w:rsidRPr="008A01CE" w:rsidRDefault="004D2498" w:rsidP="004D2498">
      <w:pPr>
        <w:ind w:left="2832" w:hanging="2832"/>
        <w:rPr>
          <w:rFonts w:asciiTheme="minorHAnsi" w:eastAsia="Tahoma" w:hAnsiTheme="minorHAnsi" w:cstheme="minorHAnsi"/>
        </w:rPr>
      </w:pPr>
    </w:p>
    <w:p w14:paraId="77576048" w14:textId="376B01D9" w:rsidR="004D2498" w:rsidRPr="008A01CE" w:rsidRDefault="004D2498" w:rsidP="004D2498">
      <w:pPr>
        <w:rPr>
          <w:rFonts w:asciiTheme="minorHAnsi" w:eastAsia="Tahoma" w:hAnsiTheme="minorHAnsi" w:cstheme="minorHAnsi"/>
        </w:rPr>
      </w:pPr>
      <w:r w:rsidRPr="008A01CE">
        <w:rPr>
          <w:rFonts w:asciiTheme="minorHAnsi" w:eastAsia="Tahoma" w:hAnsiTheme="minorHAnsi" w:cstheme="minorHAnsi"/>
          <w:b/>
        </w:rPr>
        <w:t>Amount of Awards:</w:t>
      </w:r>
      <w:r w:rsidRPr="008A01CE">
        <w:rPr>
          <w:rFonts w:asciiTheme="minorHAnsi" w:eastAsia="Tahoma" w:hAnsiTheme="minorHAnsi" w:cstheme="minorHAnsi"/>
          <w:b/>
        </w:rPr>
        <w:tab/>
        <w:t xml:space="preserve">             </w:t>
      </w:r>
      <w:r w:rsidRPr="008A01CE">
        <w:rPr>
          <w:rFonts w:asciiTheme="minorHAnsi" w:eastAsia="Tahoma" w:hAnsiTheme="minorHAnsi" w:cstheme="minorHAnsi"/>
        </w:rPr>
        <w:t>Eligible organizations can be awarded up to $</w:t>
      </w:r>
      <w:r w:rsidR="00AD3E77" w:rsidRPr="008A01CE">
        <w:rPr>
          <w:rFonts w:asciiTheme="minorHAnsi" w:eastAsia="Tahoma" w:hAnsiTheme="minorHAnsi" w:cstheme="minorHAnsi"/>
        </w:rPr>
        <w:t>1</w:t>
      </w:r>
      <w:r w:rsidRPr="008A01CE">
        <w:rPr>
          <w:rFonts w:asciiTheme="minorHAnsi" w:eastAsia="Tahoma" w:hAnsiTheme="minorHAnsi" w:cstheme="minorHAnsi"/>
        </w:rPr>
        <w:t>50,000.</w:t>
      </w:r>
    </w:p>
    <w:p w14:paraId="6E15A410" w14:textId="77777777" w:rsidR="004D2498" w:rsidRPr="008A01CE" w:rsidRDefault="004D2498" w:rsidP="004D2498">
      <w:pPr>
        <w:ind w:left="2837" w:hanging="2837"/>
        <w:rPr>
          <w:rFonts w:asciiTheme="minorHAnsi" w:eastAsia="Tahoma" w:hAnsiTheme="minorHAnsi" w:cstheme="minorHAnsi"/>
          <w:b/>
        </w:rPr>
      </w:pPr>
    </w:p>
    <w:p w14:paraId="4F43E808" w14:textId="77777777" w:rsidR="004D2498" w:rsidRPr="008A01CE" w:rsidRDefault="004D2498" w:rsidP="004D2498">
      <w:pPr>
        <w:ind w:left="2837" w:hanging="2837"/>
        <w:rPr>
          <w:rFonts w:asciiTheme="minorHAnsi" w:eastAsia="Tahoma" w:hAnsiTheme="minorHAnsi" w:cstheme="minorHAnsi"/>
          <w:b/>
        </w:rPr>
      </w:pPr>
    </w:p>
    <w:p w14:paraId="7B295C3C" w14:textId="75CFC440" w:rsidR="004D2498" w:rsidRPr="008A01CE" w:rsidRDefault="004D2498" w:rsidP="004D2498">
      <w:pPr>
        <w:ind w:left="2837" w:hanging="2837"/>
        <w:rPr>
          <w:rFonts w:asciiTheme="minorHAnsi" w:eastAsia="Tahoma" w:hAnsiTheme="minorHAnsi" w:cstheme="minorHAnsi"/>
          <w:b/>
        </w:rPr>
      </w:pPr>
      <w:r w:rsidRPr="008A01CE">
        <w:rPr>
          <w:rFonts w:asciiTheme="minorHAnsi" w:eastAsia="Tahoma" w:hAnsiTheme="minorHAnsi" w:cstheme="minorHAnsi"/>
          <w:b/>
        </w:rPr>
        <w:t>Length of Awards:</w:t>
      </w:r>
      <w:r w:rsidRPr="008A01CE">
        <w:rPr>
          <w:rFonts w:asciiTheme="minorHAnsi" w:eastAsia="Tahoma" w:hAnsiTheme="minorHAnsi" w:cstheme="minorHAnsi"/>
          <w:b/>
        </w:rPr>
        <w:tab/>
      </w:r>
      <w:r w:rsidRPr="008A01CE">
        <w:rPr>
          <w:rFonts w:asciiTheme="minorHAnsi" w:eastAsia="Tahoma" w:hAnsiTheme="minorHAnsi" w:cstheme="minorHAnsi"/>
        </w:rPr>
        <w:t xml:space="preserve">Grant awards are for FY </w:t>
      </w:r>
      <w:r w:rsidR="003D42DE" w:rsidRPr="008A01CE">
        <w:rPr>
          <w:rFonts w:asciiTheme="minorHAnsi" w:eastAsia="Tahoma" w:hAnsiTheme="minorHAnsi" w:cstheme="minorHAnsi"/>
        </w:rPr>
        <w:t>202</w:t>
      </w:r>
      <w:r w:rsidR="00AD3E77" w:rsidRPr="008A01CE">
        <w:rPr>
          <w:rFonts w:asciiTheme="minorHAnsi" w:eastAsia="Tahoma" w:hAnsiTheme="minorHAnsi" w:cstheme="minorHAnsi"/>
        </w:rPr>
        <w:t>4</w:t>
      </w:r>
    </w:p>
    <w:p w14:paraId="7CC4681F" w14:textId="37858F7D" w:rsidR="004D2498" w:rsidRPr="008A01CE" w:rsidRDefault="001425A5" w:rsidP="004D2498">
      <w:pPr>
        <w:ind w:left="2837" w:hanging="5"/>
        <w:rPr>
          <w:rFonts w:asciiTheme="minorHAnsi" w:eastAsia="Tahoma" w:hAnsiTheme="minorHAnsi" w:cstheme="minorHAnsi"/>
        </w:rPr>
      </w:pPr>
      <w:r>
        <w:rPr>
          <w:rFonts w:asciiTheme="minorHAnsi" w:eastAsia="Tahoma" w:hAnsiTheme="minorHAnsi" w:cstheme="minorHAnsi"/>
        </w:rPr>
        <w:t>April</w:t>
      </w:r>
      <w:r w:rsidR="00D0352D" w:rsidRPr="008A01CE">
        <w:rPr>
          <w:rFonts w:asciiTheme="minorHAnsi" w:eastAsia="Tahoma" w:hAnsiTheme="minorHAnsi" w:cstheme="minorHAnsi"/>
        </w:rPr>
        <w:t xml:space="preserve"> </w:t>
      </w:r>
      <w:r w:rsidR="00C70361">
        <w:rPr>
          <w:rFonts w:asciiTheme="minorHAnsi" w:eastAsia="Tahoma" w:hAnsiTheme="minorHAnsi" w:cstheme="minorHAnsi"/>
        </w:rPr>
        <w:t>29</w:t>
      </w:r>
      <w:r w:rsidR="00C70361" w:rsidRPr="00C70361">
        <w:rPr>
          <w:rFonts w:asciiTheme="minorHAnsi" w:eastAsia="Tahoma" w:hAnsiTheme="minorHAnsi" w:cstheme="minorHAnsi"/>
          <w:vertAlign w:val="superscript"/>
        </w:rPr>
        <w:t>th</w:t>
      </w:r>
      <w:r w:rsidR="00D0352D" w:rsidRPr="008A01CE">
        <w:rPr>
          <w:rFonts w:asciiTheme="minorHAnsi" w:eastAsia="Tahoma" w:hAnsiTheme="minorHAnsi" w:cstheme="minorHAnsi"/>
        </w:rPr>
        <w:t>, 2024</w:t>
      </w:r>
      <w:r w:rsidR="004D2498" w:rsidRPr="008A01CE">
        <w:rPr>
          <w:rFonts w:asciiTheme="minorHAnsi" w:eastAsia="Tahoma" w:hAnsiTheme="minorHAnsi" w:cstheme="minorHAnsi"/>
        </w:rPr>
        <w:t xml:space="preserve"> – September 30</w:t>
      </w:r>
      <w:r w:rsidR="00C70361" w:rsidRPr="00C70361">
        <w:rPr>
          <w:rFonts w:asciiTheme="minorHAnsi" w:eastAsia="Tahoma" w:hAnsiTheme="minorHAnsi" w:cstheme="minorHAnsi"/>
          <w:vertAlign w:val="superscript"/>
        </w:rPr>
        <w:t>th</w:t>
      </w:r>
      <w:r w:rsidR="004D2498" w:rsidRPr="008A01CE">
        <w:rPr>
          <w:rFonts w:asciiTheme="minorHAnsi" w:eastAsia="Tahoma" w:hAnsiTheme="minorHAnsi" w:cstheme="minorHAnsi"/>
        </w:rPr>
        <w:t xml:space="preserve">, </w:t>
      </w:r>
      <w:r w:rsidR="003D42DE" w:rsidRPr="008A01CE">
        <w:rPr>
          <w:rFonts w:asciiTheme="minorHAnsi" w:eastAsia="Tahoma" w:hAnsiTheme="minorHAnsi" w:cstheme="minorHAnsi"/>
        </w:rPr>
        <w:t>202</w:t>
      </w:r>
      <w:r w:rsidR="00AD3E77" w:rsidRPr="008A01CE">
        <w:rPr>
          <w:rFonts w:asciiTheme="minorHAnsi" w:eastAsia="Tahoma" w:hAnsiTheme="minorHAnsi" w:cstheme="minorHAnsi"/>
        </w:rPr>
        <w:t>4</w:t>
      </w:r>
    </w:p>
    <w:p w14:paraId="15DB770F" w14:textId="77777777" w:rsidR="004D2498" w:rsidRPr="008A01CE" w:rsidRDefault="004D2498" w:rsidP="004D2498">
      <w:pPr>
        <w:rPr>
          <w:rFonts w:asciiTheme="minorHAnsi" w:eastAsia="Tahoma" w:hAnsiTheme="minorHAnsi" w:cstheme="minorHAnsi"/>
          <w:b/>
        </w:rPr>
      </w:pPr>
    </w:p>
    <w:p w14:paraId="1F732F6D" w14:textId="77777777" w:rsidR="004D2498" w:rsidRPr="008A01CE" w:rsidRDefault="004D2498" w:rsidP="004D2498">
      <w:pPr>
        <w:rPr>
          <w:rFonts w:asciiTheme="minorHAnsi" w:eastAsia="Tahoma" w:hAnsiTheme="minorHAnsi" w:cstheme="minorHAnsi"/>
          <w:b/>
        </w:rPr>
      </w:pPr>
    </w:p>
    <w:p w14:paraId="1587FB92" w14:textId="77777777" w:rsidR="004D2498" w:rsidRPr="008A01CE" w:rsidRDefault="004D2498" w:rsidP="004D2498">
      <w:pPr>
        <w:ind w:left="2832" w:hanging="2832"/>
        <w:rPr>
          <w:rFonts w:asciiTheme="minorHAnsi" w:eastAsia="Tahoma" w:hAnsiTheme="minorHAnsi" w:cstheme="minorHAnsi"/>
          <w:b/>
        </w:rPr>
      </w:pPr>
    </w:p>
    <w:p w14:paraId="1CCABF8C" w14:textId="7E2DA850" w:rsidR="004D2498" w:rsidRPr="008A01CE" w:rsidRDefault="00E04C9F" w:rsidP="00EF202C">
      <w:pPr>
        <w:tabs>
          <w:tab w:val="left" w:pos="1620"/>
        </w:tabs>
        <w:ind w:left="2790" w:hanging="2790"/>
        <w:rPr>
          <w:rFonts w:asciiTheme="minorHAnsi" w:eastAsia="Tahoma" w:hAnsiTheme="minorHAnsi" w:cstheme="minorHAnsi"/>
        </w:rPr>
      </w:pPr>
      <w:r w:rsidRPr="00AF0D53">
        <w:rPr>
          <w:rFonts w:eastAsia="Times New Roman"/>
          <w:b/>
        </w:rPr>
        <w:t>Point of Contact</w:t>
      </w:r>
      <w:r w:rsidR="004D2498" w:rsidRPr="008A01CE">
        <w:rPr>
          <w:rFonts w:asciiTheme="minorHAnsi" w:eastAsia="Tahoma" w:hAnsiTheme="minorHAnsi" w:cstheme="minorHAnsi"/>
          <w:b/>
        </w:rPr>
        <w:t xml:space="preserve">: </w:t>
      </w:r>
      <w:r w:rsidR="004D2498" w:rsidRPr="008A01CE">
        <w:rPr>
          <w:rFonts w:asciiTheme="minorHAnsi" w:eastAsia="Tahoma" w:hAnsiTheme="minorHAnsi" w:cstheme="minorHAnsi"/>
          <w:b/>
        </w:rPr>
        <w:tab/>
      </w:r>
      <w:r w:rsidR="00AD3E77" w:rsidRPr="008A01CE">
        <w:rPr>
          <w:rFonts w:asciiTheme="minorHAnsi" w:eastAsia="Tahoma" w:hAnsiTheme="minorHAnsi" w:cstheme="minorHAnsi"/>
        </w:rPr>
        <w:t>Ricardo Espitia</w:t>
      </w:r>
      <w:r w:rsidR="004D2498" w:rsidRPr="008A01CE">
        <w:rPr>
          <w:rFonts w:asciiTheme="minorHAnsi" w:eastAsia="Tahoma" w:hAnsiTheme="minorHAnsi" w:cstheme="minorHAnsi"/>
        </w:rPr>
        <w:t>, Grants Management Specialist</w:t>
      </w:r>
      <w:r w:rsidR="000676D5">
        <w:rPr>
          <w:rFonts w:asciiTheme="minorHAnsi" w:eastAsia="Tahoma" w:hAnsiTheme="minorHAnsi" w:cstheme="minorHAnsi"/>
        </w:rPr>
        <w:t xml:space="preserve"> and Lucy Hernandez, Grants Monitor</w:t>
      </w:r>
    </w:p>
    <w:p w14:paraId="2923177B" w14:textId="68DBEE3D" w:rsidR="004D2498" w:rsidRPr="008A01CE" w:rsidRDefault="004D2498" w:rsidP="00EF202C">
      <w:pPr>
        <w:ind w:left="1404" w:firstLine="666"/>
        <w:rPr>
          <w:rFonts w:asciiTheme="minorHAnsi" w:eastAsia="Tahoma" w:hAnsiTheme="minorHAnsi" w:cstheme="minorHAnsi"/>
          <w:color w:val="000000"/>
        </w:rPr>
      </w:pPr>
      <w:r w:rsidRPr="008A01CE">
        <w:rPr>
          <w:rFonts w:asciiTheme="minorHAnsi" w:eastAsia="Tahoma" w:hAnsiTheme="minorHAnsi" w:cstheme="minorHAnsi"/>
        </w:rPr>
        <w:t xml:space="preserve">             Phone: </w:t>
      </w:r>
      <w:r w:rsidRPr="008A01CE">
        <w:rPr>
          <w:rFonts w:asciiTheme="minorHAnsi" w:eastAsia="Tahoma" w:hAnsiTheme="minorHAnsi" w:cstheme="minorHAnsi"/>
          <w:color w:val="000000"/>
        </w:rPr>
        <w:t>202-</w:t>
      </w:r>
      <w:r w:rsidR="00815F43" w:rsidRPr="008A01CE">
        <w:rPr>
          <w:rFonts w:asciiTheme="minorHAnsi" w:eastAsia="Tahoma" w:hAnsiTheme="minorHAnsi" w:cstheme="minorHAnsi"/>
          <w:color w:val="000000"/>
        </w:rPr>
        <w:t>714-</w:t>
      </w:r>
      <w:r w:rsidR="001A54E5" w:rsidRPr="008A01CE">
        <w:rPr>
          <w:rFonts w:asciiTheme="minorHAnsi" w:eastAsia="Tahoma" w:hAnsiTheme="minorHAnsi" w:cstheme="minorHAnsi"/>
          <w:color w:val="000000"/>
        </w:rPr>
        <w:t>4769</w:t>
      </w:r>
      <w:r w:rsidR="000676D5">
        <w:rPr>
          <w:rFonts w:asciiTheme="minorHAnsi" w:eastAsia="Tahoma" w:hAnsiTheme="minorHAnsi" w:cstheme="minorHAnsi"/>
          <w:color w:val="000000"/>
        </w:rPr>
        <w:t xml:space="preserve"> or </w:t>
      </w:r>
      <w:r w:rsidR="000676D5" w:rsidRPr="008A01CE">
        <w:rPr>
          <w:rFonts w:asciiTheme="minorHAnsi" w:eastAsia="Tahoma" w:hAnsiTheme="minorHAnsi" w:cstheme="minorHAnsi"/>
        </w:rPr>
        <w:t>202-600-1807</w:t>
      </w:r>
    </w:p>
    <w:p w14:paraId="0617A849" w14:textId="52537264" w:rsidR="0069169E" w:rsidRDefault="004D2498" w:rsidP="00EF202C">
      <w:pPr>
        <w:ind w:left="2124" w:firstLine="666"/>
        <w:rPr>
          <w:rFonts w:asciiTheme="minorHAnsi" w:eastAsia="Tahoma" w:hAnsiTheme="minorHAnsi" w:cstheme="minorHAnsi"/>
        </w:rPr>
      </w:pPr>
      <w:r w:rsidRPr="008A01CE">
        <w:rPr>
          <w:rFonts w:asciiTheme="minorHAnsi" w:eastAsia="Tahoma" w:hAnsiTheme="minorHAnsi" w:cstheme="minorHAnsi"/>
        </w:rPr>
        <w:t xml:space="preserve">Email: </w:t>
      </w:r>
      <w:r w:rsidR="00D0352D" w:rsidRPr="008A01CE">
        <w:rPr>
          <w:rFonts w:asciiTheme="minorHAnsi" w:eastAsia="Tahoma" w:hAnsiTheme="minorHAnsi" w:cstheme="minorHAnsi"/>
        </w:rPr>
        <w:t>grants.ola@dc.gov</w:t>
      </w:r>
    </w:p>
    <w:p w14:paraId="0F08CB1E" w14:textId="77777777" w:rsidR="0069169E" w:rsidRDefault="0069169E" w:rsidP="00D16D12">
      <w:pPr>
        <w:rPr>
          <w:rFonts w:asciiTheme="minorHAnsi" w:eastAsia="Tahoma" w:hAnsiTheme="minorHAnsi" w:cstheme="minorHAnsi"/>
        </w:rPr>
      </w:pPr>
    </w:p>
    <w:p w14:paraId="10CD6AE3" w14:textId="77777777" w:rsidR="000676D5" w:rsidRDefault="000676D5" w:rsidP="00D16D12">
      <w:pPr>
        <w:rPr>
          <w:rFonts w:asciiTheme="minorHAnsi" w:eastAsia="Tahoma" w:hAnsiTheme="minorHAnsi" w:cstheme="minorHAnsi"/>
        </w:rPr>
      </w:pPr>
    </w:p>
    <w:p w14:paraId="2CEF489F" w14:textId="4732E7D1" w:rsidR="000676D5" w:rsidRDefault="00E43203" w:rsidP="00D0352D">
      <w:pPr>
        <w:spacing w:before="100" w:beforeAutospacing="1" w:after="100" w:afterAutospacing="1"/>
        <w:jc w:val="both"/>
        <w:rPr>
          <w:rFonts w:asciiTheme="minorHAnsi" w:eastAsia="Tahoma" w:hAnsiTheme="minorHAnsi" w:cstheme="minorHAnsi"/>
          <w:i/>
          <w:iCs/>
        </w:rPr>
      </w:pPr>
      <w:r w:rsidRPr="000676D5">
        <w:rPr>
          <w:rFonts w:asciiTheme="minorHAnsi" w:eastAsia="Tahoma" w:hAnsiTheme="minorHAnsi" w:cstheme="minorHAnsi"/>
          <w:i/>
          <w:iCs/>
        </w:rPr>
        <w:lastRenderedPageBreak/>
        <w:t>MOLA will only receive, or answer questions related to this grant competition if submitted in writing via e-mail</w:t>
      </w:r>
      <w:r w:rsidR="00170AC8">
        <w:rPr>
          <w:rFonts w:asciiTheme="minorHAnsi" w:eastAsia="Tahoma" w:hAnsiTheme="minorHAnsi" w:cstheme="minorHAnsi"/>
          <w:i/>
          <w:iCs/>
        </w:rPr>
        <w:t xml:space="preserve"> </w:t>
      </w:r>
      <w:r w:rsidR="00336B1C">
        <w:rPr>
          <w:rFonts w:asciiTheme="minorHAnsi" w:eastAsia="Tahoma" w:hAnsiTheme="minorHAnsi" w:cstheme="minorHAnsi"/>
          <w:i/>
          <w:iCs/>
        </w:rPr>
        <w:t>to grants.ola@dc.gov</w:t>
      </w:r>
      <w:r w:rsidRPr="000676D5">
        <w:rPr>
          <w:rFonts w:asciiTheme="minorHAnsi" w:eastAsia="Tahoma" w:hAnsiTheme="minorHAnsi" w:cstheme="minorHAnsi"/>
          <w:i/>
          <w:iCs/>
        </w:rPr>
        <w:t xml:space="preserve">. Due to the volume of inquiries and other administrative tasks, questions submitted after </w:t>
      </w:r>
      <w:r w:rsidRPr="000676D5">
        <w:rPr>
          <w:rFonts w:asciiTheme="minorHAnsi" w:eastAsia="Tahoma" w:hAnsiTheme="minorHAnsi" w:cstheme="minorHAnsi"/>
          <w:i/>
          <w:iCs/>
        </w:rPr>
        <w:t>Wednesday</w:t>
      </w:r>
      <w:r w:rsidRPr="000676D5">
        <w:rPr>
          <w:rFonts w:asciiTheme="minorHAnsi" w:eastAsia="Tahoma" w:hAnsiTheme="minorHAnsi" w:cstheme="minorHAnsi"/>
          <w:i/>
          <w:iCs/>
        </w:rPr>
        <w:t xml:space="preserve">, </w:t>
      </w:r>
      <w:r w:rsidR="00DB2049" w:rsidRPr="000676D5">
        <w:rPr>
          <w:rFonts w:asciiTheme="minorHAnsi" w:eastAsia="Tahoma" w:hAnsiTheme="minorHAnsi" w:cstheme="minorHAnsi"/>
          <w:i/>
          <w:iCs/>
        </w:rPr>
        <w:t>April 10</w:t>
      </w:r>
      <w:r w:rsidRPr="000676D5">
        <w:rPr>
          <w:rFonts w:asciiTheme="minorHAnsi" w:eastAsia="Tahoma" w:hAnsiTheme="minorHAnsi" w:cstheme="minorHAnsi"/>
          <w:i/>
          <w:iCs/>
        </w:rPr>
        <w:t>th, 202</w:t>
      </w:r>
      <w:r w:rsidR="00747FE0" w:rsidRPr="000676D5">
        <w:rPr>
          <w:rFonts w:asciiTheme="minorHAnsi" w:eastAsia="Tahoma" w:hAnsiTheme="minorHAnsi" w:cstheme="minorHAnsi"/>
          <w:i/>
          <w:iCs/>
        </w:rPr>
        <w:t>4</w:t>
      </w:r>
      <w:r w:rsidRPr="000676D5">
        <w:rPr>
          <w:rFonts w:asciiTheme="minorHAnsi" w:eastAsia="Tahoma" w:hAnsiTheme="minorHAnsi" w:cstheme="minorHAnsi"/>
          <w:i/>
          <w:iCs/>
        </w:rPr>
        <w:t xml:space="preserve"> at 5:00 pm EST may not receive a response. </w:t>
      </w:r>
    </w:p>
    <w:p w14:paraId="65D12B1A" w14:textId="77777777" w:rsidR="000676D5" w:rsidRPr="000676D5" w:rsidRDefault="000676D5" w:rsidP="00D0352D">
      <w:pPr>
        <w:spacing w:before="100" w:beforeAutospacing="1" w:after="100" w:afterAutospacing="1"/>
        <w:jc w:val="both"/>
        <w:rPr>
          <w:rFonts w:asciiTheme="minorHAnsi" w:eastAsia="Tahoma" w:hAnsiTheme="minorHAnsi" w:cstheme="minorHAnsi"/>
          <w:i/>
          <w:iCs/>
        </w:rPr>
      </w:pPr>
    </w:p>
    <w:p w14:paraId="69BB72E8" w14:textId="3F7326F6" w:rsidR="00AC767D" w:rsidRPr="008A01CE" w:rsidRDefault="00EB7B37" w:rsidP="00D0352D">
      <w:pPr>
        <w:spacing w:before="100" w:beforeAutospacing="1" w:after="100" w:afterAutospacing="1"/>
        <w:jc w:val="both"/>
        <w:rPr>
          <w:rFonts w:asciiTheme="minorHAnsi" w:hAnsiTheme="minorHAnsi"/>
          <w:b/>
        </w:rPr>
      </w:pPr>
      <w:r w:rsidRPr="008A01CE">
        <w:rPr>
          <w:rFonts w:asciiTheme="minorHAnsi" w:hAnsiTheme="minorHAnsi"/>
          <w:b/>
        </w:rPr>
        <w:t xml:space="preserve">Deadline for Electronic Submission:  5:00PM on </w:t>
      </w:r>
      <w:r w:rsidR="004B3334" w:rsidRPr="008A01CE">
        <w:rPr>
          <w:rFonts w:asciiTheme="minorHAnsi" w:hAnsiTheme="minorHAnsi"/>
          <w:b/>
        </w:rPr>
        <w:t>Friday</w:t>
      </w:r>
      <w:r w:rsidR="00534F5A" w:rsidRPr="008A01CE">
        <w:rPr>
          <w:rFonts w:asciiTheme="minorHAnsi" w:hAnsiTheme="minorHAnsi"/>
          <w:b/>
        </w:rPr>
        <w:t>,</w:t>
      </w:r>
      <w:r w:rsidR="004B3334" w:rsidRPr="008A01CE">
        <w:rPr>
          <w:rFonts w:asciiTheme="minorHAnsi" w:hAnsiTheme="minorHAnsi"/>
          <w:b/>
        </w:rPr>
        <w:t xml:space="preserve"> </w:t>
      </w:r>
      <w:r w:rsidR="00752396">
        <w:rPr>
          <w:rFonts w:asciiTheme="minorHAnsi" w:hAnsiTheme="minorHAnsi"/>
          <w:b/>
        </w:rPr>
        <w:t xml:space="preserve">April </w:t>
      </w:r>
      <w:r w:rsidR="00D16D12">
        <w:rPr>
          <w:rFonts w:asciiTheme="minorHAnsi" w:hAnsiTheme="minorHAnsi"/>
          <w:b/>
        </w:rPr>
        <w:t>12</w:t>
      </w:r>
      <w:r w:rsidR="00D16D12" w:rsidRPr="00D16D12">
        <w:rPr>
          <w:rFonts w:asciiTheme="minorHAnsi" w:hAnsiTheme="minorHAnsi"/>
          <w:b/>
          <w:vertAlign w:val="superscript"/>
        </w:rPr>
        <w:t>th</w:t>
      </w:r>
      <w:r w:rsidR="00534F5A" w:rsidRPr="008A01CE">
        <w:rPr>
          <w:rFonts w:asciiTheme="minorHAnsi" w:hAnsiTheme="minorHAnsi"/>
          <w:b/>
        </w:rPr>
        <w:t>, 2024</w:t>
      </w:r>
      <w:r w:rsidR="007C36D3" w:rsidRPr="008A01CE">
        <w:rPr>
          <w:rFonts w:asciiTheme="minorHAnsi" w:hAnsiTheme="minorHAnsi"/>
          <w:b/>
        </w:rPr>
        <w:t xml:space="preserve"> </w:t>
      </w:r>
      <w:r w:rsidRPr="008A01CE">
        <w:rPr>
          <w:rFonts w:asciiTheme="minorHAnsi" w:hAnsiTheme="minorHAnsi"/>
          <w:b/>
        </w:rPr>
        <w:t>via</w:t>
      </w:r>
      <w:r w:rsidR="00E04C9F" w:rsidRPr="008A01CE">
        <w:rPr>
          <w:rFonts w:asciiTheme="minorHAnsi" w:hAnsiTheme="minorHAnsi"/>
          <w:b/>
        </w:rPr>
        <w:t xml:space="preserve"> e-mail to grants.ola@dc.gov</w:t>
      </w:r>
    </w:p>
    <w:p w14:paraId="4CBF25E7" w14:textId="77777777" w:rsidR="00AF0D53" w:rsidRPr="008A01CE" w:rsidRDefault="00AF0D53" w:rsidP="00EB7B37">
      <w:pPr>
        <w:spacing w:before="100" w:beforeAutospacing="1" w:after="100" w:afterAutospacing="1"/>
        <w:jc w:val="both"/>
        <w:rPr>
          <w:rFonts w:asciiTheme="minorHAnsi" w:hAnsiTheme="minorHAnsi"/>
          <w:b/>
        </w:rPr>
      </w:pPr>
    </w:p>
    <w:sectPr w:rsidR="00AF0D53" w:rsidRPr="008A01CE" w:rsidSect="000072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AF74" w14:textId="77777777" w:rsidR="000072AE" w:rsidRPr="0022377E" w:rsidRDefault="000072AE" w:rsidP="00654E59">
      <w:r w:rsidRPr="0022377E">
        <w:separator/>
      </w:r>
    </w:p>
  </w:endnote>
  <w:endnote w:type="continuationSeparator" w:id="0">
    <w:p w14:paraId="61E17E3E" w14:textId="77777777" w:rsidR="000072AE" w:rsidRPr="0022377E" w:rsidRDefault="000072AE" w:rsidP="00654E59">
      <w:r w:rsidRPr="0022377E">
        <w:continuationSeparator/>
      </w:r>
    </w:p>
  </w:endnote>
  <w:endnote w:type="continuationNotice" w:id="1">
    <w:p w14:paraId="158F156B" w14:textId="77777777" w:rsidR="000072AE" w:rsidRPr="0022377E" w:rsidRDefault="00007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F970" w14:textId="58C08ADB" w:rsidR="0045483B" w:rsidRPr="0022377E" w:rsidRDefault="009B0A1A" w:rsidP="0045483B">
    <w:pPr>
      <w:jc w:val="center"/>
      <w:rPr>
        <w:rFonts w:eastAsia="MS Mincho"/>
        <w:b/>
        <w:sz w:val="20"/>
        <w:szCs w:val="20"/>
      </w:rPr>
    </w:pPr>
    <w:r w:rsidRPr="0022377E">
      <w:rPr>
        <w:rFonts w:eastAsia="MS Mincho"/>
        <w:b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9BD689" wp14:editId="5EC27CFD">
              <wp:simplePos x="0" y="0"/>
              <wp:positionH relativeFrom="column">
                <wp:posOffset>-69012</wp:posOffset>
              </wp:positionH>
              <wp:positionV relativeFrom="paragraph">
                <wp:posOffset>-153143</wp:posOffset>
              </wp:positionV>
              <wp:extent cx="6012611" cy="0"/>
              <wp:effectExtent l="38100" t="38100" r="64770" b="95250"/>
              <wp:wrapNone/>
              <wp:docPr id="1694607655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2611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A87FB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-12.05pt" to="468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" strokecolor="black [3200]" strokeweight="2pt">
              <v:shadow on="t" color="black" opacity="24903f" origin=",.5" offset="0,.55556mm"/>
            </v:line>
          </w:pict>
        </mc:Fallback>
      </mc:AlternateContent>
    </w:r>
    <w:r w:rsidR="0045483B" w:rsidRPr="0022377E">
      <w:rPr>
        <w:rFonts w:eastAsia="MS Mincho"/>
        <w:b/>
        <w:sz w:val="20"/>
        <w:szCs w:val="20"/>
      </w:rPr>
      <w:t xml:space="preserve">Frank D Reeves Municipal Center | 2000 14th Street, NW, Suite 206 | Washington, DC, 20009 | (202) 671-2825 </w:t>
    </w:r>
  </w:p>
  <w:p w14:paraId="4D2D5B3D" w14:textId="49B7AE85" w:rsidR="003B338F" w:rsidRPr="0022377E" w:rsidRDefault="003B338F" w:rsidP="00454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25B2" w14:textId="77777777" w:rsidR="000072AE" w:rsidRPr="0022377E" w:rsidRDefault="000072AE" w:rsidP="00654E59">
      <w:r w:rsidRPr="0022377E">
        <w:separator/>
      </w:r>
    </w:p>
  </w:footnote>
  <w:footnote w:type="continuationSeparator" w:id="0">
    <w:p w14:paraId="78EDEEFB" w14:textId="77777777" w:rsidR="000072AE" w:rsidRPr="0022377E" w:rsidRDefault="000072AE" w:rsidP="00654E59">
      <w:r w:rsidRPr="0022377E">
        <w:continuationSeparator/>
      </w:r>
    </w:p>
  </w:footnote>
  <w:footnote w:type="continuationNotice" w:id="1">
    <w:p w14:paraId="2E4403DA" w14:textId="77777777" w:rsidR="000072AE" w:rsidRPr="0022377E" w:rsidRDefault="000072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CDC8" w14:textId="39D6D287" w:rsidR="00654E59" w:rsidRPr="0022377E" w:rsidRDefault="009B0A1A">
    <w:pPr>
      <w:pStyle w:val="Header"/>
    </w:pPr>
    <w:r w:rsidRPr="0022377E">
      <w:rPr>
        <w:rFonts w:eastAsia="MS Mincho"/>
        <w:b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D674F6" wp14:editId="73B7F492">
              <wp:simplePos x="0" y="0"/>
              <wp:positionH relativeFrom="column">
                <wp:posOffset>-72174</wp:posOffset>
              </wp:positionH>
              <wp:positionV relativeFrom="paragraph">
                <wp:posOffset>1625912</wp:posOffset>
              </wp:positionV>
              <wp:extent cx="6012611" cy="0"/>
              <wp:effectExtent l="38100" t="38100" r="64770" b="95250"/>
              <wp:wrapNone/>
              <wp:docPr id="1299945828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2611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0EE28B" id="Straight Connector 2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28pt" to="467.75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" strokecolor="black [3200]" strokeweight="2pt">
              <v:shadow on="t" color="black" opacity="24903f" origin=",.5" offset="0,.55556mm"/>
            </v:line>
          </w:pict>
        </mc:Fallback>
      </mc:AlternateContent>
    </w:r>
    <w:r w:rsidR="005F1407" w:rsidRPr="0022377E">
      <w:drawing>
        <wp:inline distT="0" distB="0" distL="0" distR="0" wp14:anchorId="4B09563C" wp14:editId="1EA86825">
          <wp:extent cx="5943612" cy="1639827"/>
          <wp:effectExtent l="0" t="0" r="0" b="0"/>
          <wp:docPr id="1615765697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4332614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12" cy="1639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95D"/>
    <w:multiLevelType w:val="hybridMultilevel"/>
    <w:tmpl w:val="735C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34DA"/>
    <w:multiLevelType w:val="hybridMultilevel"/>
    <w:tmpl w:val="B134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1545B"/>
    <w:multiLevelType w:val="hybridMultilevel"/>
    <w:tmpl w:val="FD14A6DC"/>
    <w:lvl w:ilvl="0" w:tplc="42AAE4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8B6AF3"/>
    <w:multiLevelType w:val="hybridMultilevel"/>
    <w:tmpl w:val="653E5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164A7"/>
    <w:multiLevelType w:val="hybridMultilevel"/>
    <w:tmpl w:val="3AF8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D596E"/>
    <w:multiLevelType w:val="hybridMultilevel"/>
    <w:tmpl w:val="DC8EACE2"/>
    <w:lvl w:ilvl="0" w:tplc="42AAE4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E6BEB"/>
    <w:multiLevelType w:val="hybridMultilevel"/>
    <w:tmpl w:val="FA5A0C96"/>
    <w:lvl w:ilvl="0" w:tplc="42AAE4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A039C"/>
    <w:multiLevelType w:val="multilevel"/>
    <w:tmpl w:val="5C4A0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1FA0702"/>
    <w:multiLevelType w:val="multilevel"/>
    <w:tmpl w:val="2A0C6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4B00EF5"/>
    <w:multiLevelType w:val="hybridMultilevel"/>
    <w:tmpl w:val="FE58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37219"/>
    <w:multiLevelType w:val="hybridMultilevel"/>
    <w:tmpl w:val="0082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182924">
    <w:abstractNumId w:val="2"/>
  </w:num>
  <w:num w:numId="2" w16cid:durableId="1797213025">
    <w:abstractNumId w:val="5"/>
  </w:num>
  <w:num w:numId="3" w16cid:durableId="977420245">
    <w:abstractNumId w:val="2"/>
  </w:num>
  <w:num w:numId="4" w16cid:durableId="1543977695">
    <w:abstractNumId w:val="6"/>
  </w:num>
  <w:num w:numId="5" w16cid:durableId="1989702200">
    <w:abstractNumId w:val="10"/>
  </w:num>
  <w:num w:numId="6" w16cid:durableId="1127744569">
    <w:abstractNumId w:val="0"/>
  </w:num>
  <w:num w:numId="7" w16cid:durableId="1600020038">
    <w:abstractNumId w:val="1"/>
  </w:num>
  <w:num w:numId="8" w16cid:durableId="1936134710">
    <w:abstractNumId w:val="7"/>
  </w:num>
  <w:num w:numId="9" w16cid:durableId="825315848">
    <w:abstractNumId w:val="8"/>
  </w:num>
  <w:num w:numId="10" w16cid:durableId="33310460">
    <w:abstractNumId w:val="9"/>
  </w:num>
  <w:num w:numId="11" w16cid:durableId="1440297641">
    <w:abstractNumId w:val="4"/>
  </w:num>
  <w:num w:numId="12" w16cid:durableId="1108082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0MbI0MjIyNDQyNTNX0lEKTi0uzszPAykwrAUA4IgSICwAAAA="/>
  </w:docVars>
  <w:rsids>
    <w:rsidRoot w:val="005C67C4"/>
    <w:rsid w:val="00003F0A"/>
    <w:rsid w:val="000072AE"/>
    <w:rsid w:val="00025044"/>
    <w:rsid w:val="000353CB"/>
    <w:rsid w:val="000433E6"/>
    <w:rsid w:val="000676D5"/>
    <w:rsid w:val="00071188"/>
    <w:rsid w:val="00075382"/>
    <w:rsid w:val="000923A6"/>
    <w:rsid w:val="000A3AFC"/>
    <w:rsid w:val="000A3B1A"/>
    <w:rsid w:val="000D4FAD"/>
    <w:rsid w:val="000E3EED"/>
    <w:rsid w:val="001114D9"/>
    <w:rsid w:val="001222A3"/>
    <w:rsid w:val="00137004"/>
    <w:rsid w:val="001425A5"/>
    <w:rsid w:val="00170AC8"/>
    <w:rsid w:val="00173211"/>
    <w:rsid w:val="001A0C61"/>
    <w:rsid w:val="001A54E5"/>
    <w:rsid w:val="001B58D6"/>
    <w:rsid w:val="001E76B7"/>
    <w:rsid w:val="0022377E"/>
    <w:rsid w:val="00236130"/>
    <w:rsid w:val="002379D7"/>
    <w:rsid w:val="00243707"/>
    <w:rsid w:val="00252AA7"/>
    <w:rsid w:val="00256DA8"/>
    <w:rsid w:val="00257BC2"/>
    <w:rsid w:val="002633EA"/>
    <w:rsid w:val="0029244E"/>
    <w:rsid w:val="002C6541"/>
    <w:rsid w:val="002D2A9A"/>
    <w:rsid w:val="002E4BCB"/>
    <w:rsid w:val="002F6211"/>
    <w:rsid w:val="003154DB"/>
    <w:rsid w:val="00325D15"/>
    <w:rsid w:val="00336B1C"/>
    <w:rsid w:val="0036729A"/>
    <w:rsid w:val="00375023"/>
    <w:rsid w:val="0038224F"/>
    <w:rsid w:val="00385432"/>
    <w:rsid w:val="003B338F"/>
    <w:rsid w:val="003C4FA6"/>
    <w:rsid w:val="003D42DE"/>
    <w:rsid w:val="003F3A72"/>
    <w:rsid w:val="00400595"/>
    <w:rsid w:val="00431D76"/>
    <w:rsid w:val="004376E1"/>
    <w:rsid w:val="00442785"/>
    <w:rsid w:val="00442985"/>
    <w:rsid w:val="00444342"/>
    <w:rsid w:val="0045483B"/>
    <w:rsid w:val="00473094"/>
    <w:rsid w:val="004741AA"/>
    <w:rsid w:val="0049520A"/>
    <w:rsid w:val="0049646F"/>
    <w:rsid w:val="004A4336"/>
    <w:rsid w:val="004A72B8"/>
    <w:rsid w:val="004B3334"/>
    <w:rsid w:val="004D2498"/>
    <w:rsid w:val="004D6897"/>
    <w:rsid w:val="004E6031"/>
    <w:rsid w:val="004F35B4"/>
    <w:rsid w:val="004F4880"/>
    <w:rsid w:val="004F6F48"/>
    <w:rsid w:val="005003D3"/>
    <w:rsid w:val="00505E8E"/>
    <w:rsid w:val="00516239"/>
    <w:rsid w:val="00534F5A"/>
    <w:rsid w:val="0054313E"/>
    <w:rsid w:val="00545261"/>
    <w:rsid w:val="005A1110"/>
    <w:rsid w:val="005C3000"/>
    <w:rsid w:val="005C67C4"/>
    <w:rsid w:val="005D73FC"/>
    <w:rsid w:val="005F1407"/>
    <w:rsid w:val="00603086"/>
    <w:rsid w:val="00621C29"/>
    <w:rsid w:val="00654E59"/>
    <w:rsid w:val="006743D5"/>
    <w:rsid w:val="00685FE6"/>
    <w:rsid w:val="0069169E"/>
    <w:rsid w:val="006933AE"/>
    <w:rsid w:val="0069394C"/>
    <w:rsid w:val="006D73AC"/>
    <w:rsid w:val="006E32F2"/>
    <w:rsid w:val="006F221A"/>
    <w:rsid w:val="00711454"/>
    <w:rsid w:val="00715A28"/>
    <w:rsid w:val="00727E6B"/>
    <w:rsid w:val="00731986"/>
    <w:rsid w:val="00740709"/>
    <w:rsid w:val="00747FE0"/>
    <w:rsid w:val="00752396"/>
    <w:rsid w:val="007605A5"/>
    <w:rsid w:val="00771513"/>
    <w:rsid w:val="00776150"/>
    <w:rsid w:val="007A48BC"/>
    <w:rsid w:val="007C36D3"/>
    <w:rsid w:val="007E6AB7"/>
    <w:rsid w:val="008012D6"/>
    <w:rsid w:val="00815F43"/>
    <w:rsid w:val="008420C5"/>
    <w:rsid w:val="0088233C"/>
    <w:rsid w:val="008A01CE"/>
    <w:rsid w:val="008A1153"/>
    <w:rsid w:val="008B6A7E"/>
    <w:rsid w:val="008D7944"/>
    <w:rsid w:val="008E4D21"/>
    <w:rsid w:val="008F3FD7"/>
    <w:rsid w:val="008F41D7"/>
    <w:rsid w:val="008F77D2"/>
    <w:rsid w:val="00920483"/>
    <w:rsid w:val="00924A88"/>
    <w:rsid w:val="00955D9C"/>
    <w:rsid w:val="00960BD4"/>
    <w:rsid w:val="00962644"/>
    <w:rsid w:val="00983191"/>
    <w:rsid w:val="00983300"/>
    <w:rsid w:val="0099750E"/>
    <w:rsid w:val="00997B8C"/>
    <w:rsid w:val="009B0A1A"/>
    <w:rsid w:val="009B5882"/>
    <w:rsid w:val="009C3DE0"/>
    <w:rsid w:val="009D1F1F"/>
    <w:rsid w:val="00A0289A"/>
    <w:rsid w:val="00A034B2"/>
    <w:rsid w:val="00A07F2A"/>
    <w:rsid w:val="00A22251"/>
    <w:rsid w:val="00A2231D"/>
    <w:rsid w:val="00A23228"/>
    <w:rsid w:val="00A2552C"/>
    <w:rsid w:val="00A3560F"/>
    <w:rsid w:val="00A57545"/>
    <w:rsid w:val="00A63559"/>
    <w:rsid w:val="00A6404F"/>
    <w:rsid w:val="00A70CAB"/>
    <w:rsid w:val="00A717AE"/>
    <w:rsid w:val="00A730EF"/>
    <w:rsid w:val="00A75B25"/>
    <w:rsid w:val="00A80227"/>
    <w:rsid w:val="00A920F7"/>
    <w:rsid w:val="00AC0A14"/>
    <w:rsid w:val="00AC1801"/>
    <w:rsid w:val="00AC767D"/>
    <w:rsid w:val="00AD3E77"/>
    <w:rsid w:val="00AE0BD5"/>
    <w:rsid w:val="00AF0D53"/>
    <w:rsid w:val="00B326C0"/>
    <w:rsid w:val="00B32CC6"/>
    <w:rsid w:val="00B418A5"/>
    <w:rsid w:val="00BC7B13"/>
    <w:rsid w:val="00BD21B2"/>
    <w:rsid w:val="00BF12EA"/>
    <w:rsid w:val="00C05FF2"/>
    <w:rsid w:val="00C376DB"/>
    <w:rsid w:val="00C64E12"/>
    <w:rsid w:val="00C70361"/>
    <w:rsid w:val="00CA2BCE"/>
    <w:rsid w:val="00CA4714"/>
    <w:rsid w:val="00CA7D27"/>
    <w:rsid w:val="00D0352D"/>
    <w:rsid w:val="00D16D12"/>
    <w:rsid w:val="00D22491"/>
    <w:rsid w:val="00D328A2"/>
    <w:rsid w:val="00D3330F"/>
    <w:rsid w:val="00D47DCE"/>
    <w:rsid w:val="00D70178"/>
    <w:rsid w:val="00D72C04"/>
    <w:rsid w:val="00D77549"/>
    <w:rsid w:val="00D8640D"/>
    <w:rsid w:val="00D92759"/>
    <w:rsid w:val="00DA7EC8"/>
    <w:rsid w:val="00DB2049"/>
    <w:rsid w:val="00DC0922"/>
    <w:rsid w:val="00DF5B31"/>
    <w:rsid w:val="00E04C9F"/>
    <w:rsid w:val="00E12335"/>
    <w:rsid w:val="00E2349A"/>
    <w:rsid w:val="00E31C9F"/>
    <w:rsid w:val="00E41993"/>
    <w:rsid w:val="00E43203"/>
    <w:rsid w:val="00E44922"/>
    <w:rsid w:val="00E47993"/>
    <w:rsid w:val="00E50928"/>
    <w:rsid w:val="00E53BD7"/>
    <w:rsid w:val="00E55892"/>
    <w:rsid w:val="00E931CE"/>
    <w:rsid w:val="00EB449B"/>
    <w:rsid w:val="00EB7B37"/>
    <w:rsid w:val="00ED343A"/>
    <w:rsid w:val="00EE6099"/>
    <w:rsid w:val="00EE632C"/>
    <w:rsid w:val="00EF202C"/>
    <w:rsid w:val="00F067FA"/>
    <w:rsid w:val="00F13E6F"/>
    <w:rsid w:val="00F758CA"/>
    <w:rsid w:val="00F81DBA"/>
    <w:rsid w:val="00FA6CD3"/>
    <w:rsid w:val="00FB5E08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F4FDB"/>
  <w15:docId w15:val="{3FFDC67C-5430-4ED0-93AD-0C410E5F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7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E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E5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0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select1">
    <w:name w:val="auto-select1"/>
    <w:basedOn w:val="DefaultParagraphFont"/>
    <w:rsid w:val="0049646F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32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249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1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5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1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pgs.dc.gov/page/opgs-district-grants-clearingho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la.dc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MOLA's Site Visit Notification Letter</vt:lpstr>
    </vt:vector>
  </TitlesOfParts>
  <Company>DC Government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MOLA's Site Visit Notification Letter</dc:title>
  <dc:creator>ServUS;eduardo.perdomo@dc.gov</dc:creator>
  <cp:lastModifiedBy>Hernandez, Lucy (EOM)</cp:lastModifiedBy>
  <cp:revision>131</cp:revision>
  <cp:lastPrinted>2024-03-12T20:26:00Z</cp:lastPrinted>
  <dcterms:created xsi:type="dcterms:W3CDTF">2024-03-11T17:25:00Z</dcterms:created>
  <dcterms:modified xsi:type="dcterms:W3CDTF">2024-03-12T20:29:00Z</dcterms:modified>
</cp:coreProperties>
</file>